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FCFEA" w14:textId="77777777" w:rsidR="00133EB7" w:rsidRDefault="00133EB7" w:rsidP="00287243">
      <w:pPr>
        <w:spacing w:after="240" w:line="259" w:lineRule="auto"/>
        <w:ind w:left="14" w:firstLine="0"/>
      </w:pPr>
      <w:r>
        <w:rPr>
          <w:noProof/>
        </w:rPr>
        <w:drawing>
          <wp:inline distT="0" distB="0" distL="0" distR="0" wp14:anchorId="1A2D1438" wp14:editId="4E6D7AEA">
            <wp:extent cx="2606675" cy="554231"/>
            <wp:effectExtent l="0" t="0" r="3175"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6675" cy="554231"/>
                    </a:xfrm>
                    <a:prstGeom prst="rect">
                      <a:avLst/>
                    </a:prstGeom>
                  </pic:spPr>
                </pic:pic>
              </a:graphicData>
            </a:graphic>
          </wp:inline>
        </w:drawing>
      </w:r>
      <w:r>
        <w:t xml:space="preserve"> </w:t>
      </w:r>
    </w:p>
    <w:p w14:paraId="3657EC65" w14:textId="77777777" w:rsidR="00133EB7" w:rsidRPr="0085449D" w:rsidRDefault="00103FB2" w:rsidP="00133EB7">
      <w:pPr>
        <w:spacing w:after="0" w:line="259" w:lineRule="auto"/>
        <w:ind w:left="-5"/>
        <w:rPr>
          <w:rFonts w:ascii="Arial" w:hAnsi="Arial" w:cs="Arial"/>
          <w:sz w:val="22"/>
        </w:rPr>
      </w:pPr>
      <w:r>
        <w:rPr>
          <w:rFonts w:ascii="Arial" w:hAnsi="Arial" w:cs="Arial"/>
          <w:b/>
          <w:color w:val="343434"/>
          <w:sz w:val="22"/>
        </w:rPr>
        <w:t>October</w:t>
      </w:r>
      <w:r w:rsidR="00BE7477" w:rsidRPr="0085449D">
        <w:rPr>
          <w:rFonts w:ascii="Arial" w:hAnsi="Arial" w:cs="Arial"/>
          <w:b/>
          <w:color w:val="343434"/>
          <w:sz w:val="22"/>
        </w:rPr>
        <w:t xml:space="preserve"> </w:t>
      </w:r>
      <w:r>
        <w:rPr>
          <w:rFonts w:ascii="Arial" w:hAnsi="Arial" w:cs="Arial"/>
          <w:b/>
          <w:color w:val="343434"/>
          <w:sz w:val="22"/>
        </w:rPr>
        <w:t>20</w:t>
      </w:r>
      <w:r w:rsidR="00133EB7" w:rsidRPr="0085449D">
        <w:rPr>
          <w:rFonts w:ascii="Arial" w:hAnsi="Arial" w:cs="Arial"/>
          <w:b/>
          <w:color w:val="343434"/>
          <w:sz w:val="22"/>
        </w:rPr>
        <w:t>, 202</w:t>
      </w:r>
      <w:r w:rsidR="00E870BD">
        <w:rPr>
          <w:rFonts w:ascii="Arial" w:hAnsi="Arial" w:cs="Arial"/>
          <w:b/>
          <w:color w:val="343434"/>
          <w:sz w:val="22"/>
        </w:rPr>
        <w:t>6</w:t>
      </w:r>
      <w:r w:rsidR="00133EB7" w:rsidRPr="0085449D">
        <w:rPr>
          <w:rFonts w:ascii="Arial" w:hAnsi="Arial" w:cs="Arial"/>
          <w:b/>
          <w:color w:val="343434"/>
          <w:sz w:val="22"/>
        </w:rPr>
        <w:t xml:space="preserve"> </w:t>
      </w:r>
    </w:p>
    <w:p w14:paraId="6614B4DB" w14:textId="77777777" w:rsidR="00133EB7" w:rsidRPr="0085449D" w:rsidRDefault="00133EB7" w:rsidP="00133EB7">
      <w:pPr>
        <w:spacing w:after="0" w:line="259" w:lineRule="auto"/>
        <w:ind w:left="-5"/>
        <w:rPr>
          <w:rFonts w:ascii="Arial" w:hAnsi="Arial" w:cs="Arial"/>
          <w:sz w:val="22"/>
        </w:rPr>
      </w:pPr>
      <w:r w:rsidRPr="0085449D">
        <w:rPr>
          <w:rFonts w:ascii="Arial" w:hAnsi="Arial" w:cs="Arial"/>
          <w:b/>
          <w:color w:val="343434"/>
          <w:sz w:val="22"/>
        </w:rPr>
        <w:t xml:space="preserve">For Immediate Release </w:t>
      </w:r>
      <w:r w:rsidRPr="0085449D">
        <w:rPr>
          <w:rFonts w:ascii="Arial" w:hAnsi="Arial" w:cs="Arial"/>
          <w:sz w:val="22"/>
        </w:rPr>
        <w:t xml:space="preserve"> </w:t>
      </w:r>
    </w:p>
    <w:p w14:paraId="436B316A" w14:textId="77777777" w:rsidR="00C13F64" w:rsidRPr="00287243" w:rsidRDefault="00133EB7" w:rsidP="00287243">
      <w:pPr>
        <w:spacing w:after="240" w:line="259" w:lineRule="auto"/>
        <w:ind w:left="0" w:hanging="14"/>
        <w:rPr>
          <w:rFonts w:ascii="Arial" w:hAnsi="Arial" w:cs="Arial"/>
          <w:sz w:val="22"/>
        </w:rPr>
      </w:pPr>
      <w:r w:rsidRPr="0085449D">
        <w:rPr>
          <w:rFonts w:ascii="Arial" w:hAnsi="Arial" w:cs="Arial"/>
          <w:b/>
          <w:color w:val="343434"/>
          <w:sz w:val="22"/>
        </w:rPr>
        <w:t>Contact: Jackie Olson, Marketing Communications | 507-</w:t>
      </w:r>
      <w:r w:rsidR="00AE0282" w:rsidRPr="0085449D">
        <w:rPr>
          <w:rFonts w:ascii="Arial" w:hAnsi="Arial" w:cs="Arial"/>
          <w:b/>
          <w:color w:val="343434"/>
          <w:sz w:val="22"/>
        </w:rPr>
        <w:t>847</w:t>
      </w:r>
      <w:r w:rsidRPr="0085449D">
        <w:rPr>
          <w:rFonts w:ascii="Arial" w:hAnsi="Arial" w:cs="Arial"/>
          <w:b/>
          <w:color w:val="343434"/>
          <w:sz w:val="22"/>
        </w:rPr>
        <w:t xml:space="preserve">-7931 | </w:t>
      </w:r>
      <w:r w:rsidRPr="0085449D">
        <w:rPr>
          <w:rFonts w:ascii="Arial" w:hAnsi="Arial" w:cs="Arial"/>
          <w:b/>
          <w:color w:val="025FFF"/>
          <w:sz w:val="22"/>
          <w:u w:val="single" w:color="0563C1"/>
        </w:rPr>
        <w:t>jackie.olson@mnwest.edu</w:t>
      </w:r>
      <w:r w:rsidRPr="0085449D">
        <w:rPr>
          <w:rFonts w:ascii="Arial" w:hAnsi="Arial" w:cs="Arial"/>
          <w:sz w:val="22"/>
        </w:rPr>
        <w:t xml:space="preserve">  </w:t>
      </w:r>
    </w:p>
    <w:p w14:paraId="02539304" w14:textId="77777777" w:rsidR="00133EB7" w:rsidRPr="0085449D" w:rsidRDefault="00103FB2" w:rsidP="00287243">
      <w:pPr>
        <w:spacing w:after="96" w:line="259" w:lineRule="auto"/>
        <w:ind w:left="14" w:firstLine="0"/>
        <w:rPr>
          <w:rFonts w:ascii="Arial" w:hAnsi="Arial" w:cs="Arial"/>
          <w:b/>
          <w:sz w:val="22"/>
        </w:rPr>
      </w:pPr>
      <w:r w:rsidRPr="00103FB2">
        <w:rPr>
          <w:rFonts w:ascii="Arial" w:hAnsi="Arial" w:cs="Arial"/>
          <w:b/>
          <w:sz w:val="22"/>
        </w:rPr>
        <w:t>Minnesota West Instructor Highlights Student Success Initiative at National Conference</w:t>
      </w:r>
    </w:p>
    <w:p w14:paraId="5B3BBC52" w14:textId="238D8ECF" w:rsidR="00103FB2" w:rsidRPr="00103FB2"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 xml:space="preserve">Minnesota West </w:t>
      </w:r>
      <w:r w:rsidR="000A7FB6">
        <w:rPr>
          <w:rFonts w:ascii="Arial" w:eastAsia="Times New Roman" w:hAnsi="Arial" w:cs="Arial"/>
          <w:sz w:val="22"/>
        </w:rPr>
        <w:t xml:space="preserve">Community &amp; Technical College </w:t>
      </w:r>
      <w:bookmarkStart w:id="0" w:name="_GoBack"/>
      <w:bookmarkEnd w:id="0"/>
      <w:r w:rsidRPr="00103FB2">
        <w:rPr>
          <w:rFonts w:ascii="Arial" w:eastAsia="Times New Roman" w:hAnsi="Arial" w:cs="Arial"/>
          <w:sz w:val="22"/>
        </w:rPr>
        <w:t>is proud to recognize Abby Vercauteren, English Instructor, who recently presented at the National Alliance of Concurrent Enrollment Partnerships (NACEP) Conference, sharing the results of an innovative project focused on strengthening student engagement and belonging in online dual-enrollment courses.</w:t>
      </w:r>
    </w:p>
    <w:p w14:paraId="1DB474A7" w14:textId="77777777" w:rsidR="00103FB2" w:rsidRPr="00103FB2"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As part of the Increasing College Access Network (ICAN) project, launched in 2022 through Jobs for the Future, Abby collaborated with educational partners to explore how social-emotional learning (SEL) can be intentionally integrated into online dual-enrollment courses. The project focused on helping students build meaningful connections with peers and instructors while developing the confidence, skills, and academic habits needed to navigate college-level coursework.</w:t>
      </w:r>
    </w:p>
    <w:p w14:paraId="2EEBF380" w14:textId="77777777" w:rsidR="00103FB2" w:rsidRPr="00103FB2"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Vercauteren stated, “I was honored to present findings from grant-funded research that demonstrated how integrating social-emotional learning into online dual-enrollment courses can support student success and foster a stronger sense of belonging. The conference also provided valuable insights and strategies for supporting PSEO students at Minnesota West, helping them feel connected, confident, and better prepared for the expectations of college-level coursework.”</w:t>
      </w:r>
    </w:p>
    <w:p w14:paraId="2CE93E42" w14:textId="77777777" w:rsidR="00103FB2" w:rsidRPr="00103FB2"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Over three academic years, the project partnered with two community colleges and 58 rural high schools, engaging more than 520 students. Strategies tested through the initiative included team-building activities, emotional check-ins, self-assessments, weekly challenges, calendar-planning exercises, and individualized student support.</w:t>
      </w:r>
    </w:p>
    <w:p w14:paraId="0B062BC4" w14:textId="77777777" w:rsidR="00103FB2" w:rsidRPr="00103FB2"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At the conference, Abby shared lessons learned from the project, including effective approaches for supporting instructors, strengthening partnerships between colleges and high schools, and creating engaging online learning environments that promote persistence and achievement.</w:t>
      </w:r>
    </w:p>
    <w:p w14:paraId="06C9C41D" w14:textId="77777777" w:rsidR="00103FB2" w:rsidRPr="00103FB2"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The project team included:</w:t>
      </w:r>
    </w:p>
    <w:p w14:paraId="05755213" w14:textId="77777777" w:rsidR="00103FB2" w:rsidRPr="00103FB2" w:rsidRDefault="00103FB2" w:rsidP="00103FB2">
      <w:pPr>
        <w:pStyle w:val="ListParagraph"/>
        <w:numPr>
          <w:ilvl w:val="0"/>
          <w:numId w:val="1"/>
        </w:numPr>
        <w:spacing w:before="120" w:after="0" w:line="233" w:lineRule="auto"/>
        <w:rPr>
          <w:rFonts w:ascii="Arial" w:eastAsia="Times New Roman" w:hAnsi="Arial" w:cs="Arial"/>
          <w:sz w:val="22"/>
        </w:rPr>
      </w:pPr>
      <w:r w:rsidRPr="00103FB2">
        <w:rPr>
          <w:rFonts w:ascii="Arial" w:eastAsia="Times New Roman" w:hAnsi="Arial" w:cs="Arial"/>
          <w:sz w:val="22"/>
        </w:rPr>
        <w:t xml:space="preserve">Ashley Fellow, </w:t>
      </w:r>
      <w:proofErr w:type="spellStart"/>
      <w:r w:rsidRPr="00103FB2">
        <w:rPr>
          <w:rFonts w:ascii="Arial" w:eastAsia="Times New Roman" w:hAnsi="Arial" w:cs="Arial"/>
          <w:sz w:val="22"/>
        </w:rPr>
        <w:t>FullScale</w:t>
      </w:r>
      <w:proofErr w:type="spellEnd"/>
      <w:r w:rsidRPr="00103FB2">
        <w:rPr>
          <w:rFonts w:ascii="Arial" w:eastAsia="Times New Roman" w:hAnsi="Arial" w:cs="Arial"/>
          <w:sz w:val="22"/>
        </w:rPr>
        <w:t xml:space="preserve"> Learning</w:t>
      </w:r>
    </w:p>
    <w:p w14:paraId="00DA4599" w14:textId="77777777" w:rsidR="00103FB2" w:rsidRPr="00103FB2" w:rsidRDefault="00103FB2" w:rsidP="00103FB2">
      <w:pPr>
        <w:pStyle w:val="ListParagraph"/>
        <w:numPr>
          <w:ilvl w:val="0"/>
          <w:numId w:val="1"/>
        </w:numPr>
        <w:spacing w:before="120" w:after="0" w:line="233" w:lineRule="auto"/>
        <w:rPr>
          <w:rFonts w:ascii="Arial" w:eastAsia="Times New Roman" w:hAnsi="Arial" w:cs="Arial"/>
          <w:sz w:val="22"/>
        </w:rPr>
      </w:pPr>
      <w:r w:rsidRPr="00103FB2">
        <w:rPr>
          <w:rFonts w:ascii="Arial" w:eastAsia="Times New Roman" w:hAnsi="Arial" w:cs="Arial"/>
          <w:sz w:val="22"/>
        </w:rPr>
        <w:t xml:space="preserve">Steve </w:t>
      </w:r>
      <w:proofErr w:type="spellStart"/>
      <w:r w:rsidRPr="00103FB2">
        <w:rPr>
          <w:rFonts w:ascii="Arial" w:eastAsia="Times New Roman" w:hAnsi="Arial" w:cs="Arial"/>
          <w:sz w:val="22"/>
        </w:rPr>
        <w:t>Walvig</w:t>
      </w:r>
      <w:proofErr w:type="spellEnd"/>
      <w:r w:rsidRPr="00103FB2">
        <w:rPr>
          <w:rFonts w:ascii="Arial" w:eastAsia="Times New Roman" w:hAnsi="Arial" w:cs="Arial"/>
          <w:sz w:val="22"/>
        </w:rPr>
        <w:t>, Greater Twin Cities United Way</w:t>
      </w:r>
    </w:p>
    <w:p w14:paraId="50ACB5E1" w14:textId="77777777" w:rsidR="00103FB2" w:rsidRPr="00103FB2" w:rsidRDefault="00103FB2" w:rsidP="00103FB2">
      <w:pPr>
        <w:pStyle w:val="ListParagraph"/>
        <w:numPr>
          <w:ilvl w:val="0"/>
          <w:numId w:val="1"/>
        </w:numPr>
        <w:spacing w:before="120" w:after="0" w:line="233" w:lineRule="auto"/>
        <w:rPr>
          <w:rFonts w:ascii="Arial" w:eastAsia="Times New Roman" w:hAnsi="Arial" w:cs="Arial"/>
          <w:sz w:val="22"/>
        </w:rPr>
      </w:pPr>
      <w:r w:rsidRPr="00103FB2">
        <w:rPr>
          <w:rFonts w:ascii="Arial" w:eastAsia="Times New Roman" w:hAnsi="Arial" w:cs="Arial"/>
          <w:sz w:val="22"/>
        </w:rPr>
        <w:t xml:space="preserve">Krissy </w:t>
      </w:r>
      <w:proofErr w:type="spellStart"/>
      <w:r w:rsidRPr="00103FB2">
        <w:rPr>
          <w:rFonts w:ascii="Arial" w:eastAsia="Times New Roman" w:hAnsi="Arial" w:cs="Arial"/>
          <w:sz w:val="22"/>
        </w:rPr>
        <w:t>Zeiser</w:t>
      </w:r>
      <w:proofErr w:type="spellEnd"/>
      <w:r w:rsidRPr="00103FB2">
        <w:rPr>
          <w:rFonts w:ascii="Arial" w:eastAsia="Times New Roman" w:hAnsi="Arial" w:cs="Arial"/>
          <w:sz w:val="22"/>
        </w:rPr>
        <w:t>, American Institutes for Research</w:t>
      </w:r>
    </w:p>
    <w:p w14:paraId="0CCA5488" w14:textId="77777777" w:rsidR="00103FB2" w:rsidRPr="00103FB2" w:rsidRDefault="00103FB2" w:rsidP="00103FB2">
      <w:pPr>
        <w:pStyle w:val="ListParagraph"/>
        <w:numPr>
          <w:ilvl w:val="0"/>
          <w:numId w:val="1"/>
        </w:numPr>
        <w:spacing w:before="120" w:after="0" w:line="233" w:lineRule="auto"/>
        <w:rPr>
          <w:rFonts w:ascii="Arial" w:eastAsia="Times New Roman" w:hAnsi="Arial" w:cs="Arial"/>
          <w:sz w:val="22"/>
        </w:rPr>
      </w:pPr>
      <w:r w:rsidRPr="00103FB2">
        <w:rPr>
          <w:rFonts w:ascii="Arial" w:eastAsia="Times New Roman" w:hAnsi="Arial" w:cs="Arial"/>
          <w:sz w:val="22"/>
        </w:rPr>
        <w:t>Abby Vercauteren, Minnesota West Community &amp; Technical College</w:t>
      </w:r>
    </w:p>
    <w:p w14:paraId="4919918A" w14:textId="77777777" w:rsidR="00BE7477" w:rsidRDefault="00103FB2" w:rsidP="00103FB2">
      <w:pPr>
        <w:spacing w:before="120" w:after="0" w:line="233" w:lineRule="auto"/>
        <w:ind w:left="14" w:firstLine="0"/>
        <w:rPr>
          <w:rFonts w:ascii="Arial" w:eastAsia="Times New Roman" w:hAnsi="Arial" w:cs="Arial"/>
          <w:sz w:val="22"/>
        </w:rPr>
      </w:pPr>
      <w:r w:rsidRPr="00103FB2">
        <w:rPr>
          <w:rFonts w:ascii="Arial" w:eastAsia="Times New Roman" w:hAnsi="Arial" w:cs="Arial"/>
          <w:sz w:val="22"/>
        </w:rPr>
        <w:t>Through strong partnerships, innovative teaching practices, and a commitment to student success, faculty like Abby are helping expand access to college opportunities while ensuring students have the support they need to thrive.</w:t>
      </w:r>
    </w:p>
    <w:p w14:paraId="74F13472" w14:textId="77777777" w:rsidR="0085449D" w:rsidRPr="0085449D" w:rsidRDefault="0085449D" w:rsidP="005E6CD0">
      <w:pPr>
        <w:pBdr>
          <w:bottom w:val="single" w:sz="12" w:space="1" w:color="auto"/>
        </w:pBdr>
        <w:spacing w:before="120" w:after="0" w:line="233" w:lineRule="auto"/>
        <w:ind w:left="14" w:firstLine="0"/>
        <w:rPr>
          <w:rFonts w:ascii="Arial" w:eastAsia="Times New Roman" w:hAnsi="Arial" w:cs="Arial"/>
          <w:sz w:val="22"/>
        </w:rPr>
      </w:pPr>
    </w:p>
    <w:p w14:paraId="6475E708" w14:textId="77777777" w:rsidR="00133EB7" w:rsidRPr="0085449D" w:rsidRDefault="00133EB7" w:rsidP="0085449D">
      <w:pPr>
        <w:spacing w:before="120" w:after="0" w:line="233" w:lineRule="auto"/>
        <w:rPr>
          <w:rFonts w:ascii="Arial" w:hAnsi="Arial" w:cs="Arial"/>
        </w:rPr>
      </w:pPr>
      <w:r w:rsidRPr="0085449D">
        <w:rPr>
          <w:rFonts w:ascii="Arial" w:hAnsi="Arial" w:cs="Arial"/>
          <w:sz w:val="18"/>
        </w:rPr>
        <w:t xml:space="preserve">Minnesota West Community and Technical College offers over 60 technical career and liberal arts majors on five southwest Minnesota campuses in Canby, Granite Falls, Jackson, Pipestone, and Worthington along with learning centers in Marshall and </w:t>
      </w:r>
      <w:proofErr w:type="spellStart"/>
      <w:r w:rsidRPr="0085449D">
        <w:rPr>
          <w:rFonts w:ascii="Arial" w:hAnsi="Arial" w:cs="Arial"/>
          <w:sz w:val="18"/>
        </w:rPr>
        <w:t>Luverne</w:t>
      </w:r>
      <w:proofErr w:type="spellEnd"/>
      <w:r w:rsidRPr="0085449D">
        <w:rPr>
          <w:rFonts w:ascii="Arial" w:hAnsi="Arial" w:cs="Arial"/>
          <w:sz w:val="18"/>
        </w:rPr>
        <w:t xml:space="preserve">, MN. The College is a leader in distance learning and Internet delivery. Minnesota West is a member of the Minnesota State Colleges and Universities System. The largest provider of higher education in the state of Minnesota. Minnesota State is an affirmative action, equal opportunity employer and educator. </w:t>
      </w:r>
    </w:p>
    <w:sectPr w:rsidR="00133EB7" w:rsidRPr="0085449D" w:rsidSect="00133EB7">
      <w:pgSz w:w="12240" w:h="15840"/>
      <w:pgMar w:top="63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F81087"/>
    <w:multiLevelType w:val="hybridMultilevel"/>
    <w:tmpl w:val="6826FB66"/>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B2"/>
    <w:rsid w:val="000A7FB6"/>
    <w:rsid w:val="00103FB2"/>
    <w:rsid w:val="00133EB7"/>
    <w:rsid w:val="00287243"/>
    <w:rsid w:val="003E7CCA"/>
    <w:rsid w:val="005E6CD0"/>
    <w:rsid w:val="00687250"/>
    <w:rsid w:val="0085449D"/>
    <w:rsid w:val="00AE0282"/>
    <w:rsid w:val="00BE7477"/>
    <w:rsid w:val="00C13F64"/>
    <w:rsid w:val="00CC5BB8"/>
    <w:rsid w:val="00E8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0B2CF"/>
  <w15:chartTrackingRefBased/>
  <w15:docId w15:val="{A672883A-E367-4D91-88FA-2352810D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EB7"/>
    <w:pPr>
      <w:spacing w:after="5" w:line="250" w:lineRule="auto"/>
      <w:ind w:left="2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B7"/>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ListParagraph">
    <w:name w:val="List Paragraph"/>
    <w:basedOn w:val="Normal"/>
    <w:uiPriority w:val="34"/>
    <w:qFormat/>
    <w:rsid w:val="00103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6200lb\OneDrive%20-%20Minnesota%20State\Press-Releases\000-MNWes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44ca72-5ccf-4af0-b484-a2a405a70e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5E471F42EFE49AF9BDEB4AA695B96" ma:contentTypeVersion="17" ma:contentTypeDescription="Create a new document." ma:contentTypeScope="" ma:versionID="e32213ac5a75ff6357f75a443e76f213">
  <xsd:schema xmlns:xsd="http://www.w3.org/2001/XMLSchema" xmlns:xs="http://www.w3.org/2001/XMLSchema" xmlns:p="http://schemas.microsoft.com/office/2006/metadata/properties" xmlns:ns3="dd44ca72-5ccf-4af0-b484-a2a405a70e8c" xmlns:ns4="1daccf1b-4262-4c98-9be6-c97456ee03b8" targetNamespace="http://schemas.microsoft.com/office/2006/metadata/properties" ma:root="true" ma:fieldsID="3fa09b808c0d7027550c4bf72d47cdaa" ns3:_="" ns4:_="">
    <xsd:import namespace="dd44ca72-5ccf-4af0-b484-a2a405a70e8c"/>
    <xsd:import namespace="1daccf1b-4262-4c98-9be6-c97456ee03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ca72-5ccf-4af0-b484-a2a405a70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ccf1b-4262-4c98-9be6-c97456ee03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7BD96-3778-43E2-993B-F58114C1C1A8}">
  <ds:schemaRefs>
    <ds:schemaRef ds:uri="1daccf1b-4262-4c98-9be6-c97456ee03b8"/>
    <ds:schemaRef ds:uri="http://purl.org/dc/terms/"/>
    <ds:schemaRef ds:uri="http://schemas.microsoft.com/office/2006/documentManagement/types"/>
    <ds:schemaRef ds:uri="dd44ca72-5ccf-4af0-b484-a2a405a70e8c"/>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32F07FC-474E-4AC8-8A67-472D76A823A4}">
  <ds:schemaRefs>
    <ds:schemaRef ds:uri="http://schemas.microsoft.com/sharepoint/v3/contenttype/forms"/>
  </ds:schemaRefs>
</ds:datastoreItem>
</file>

<file path=customXml/itemProps3.xml><?xml version="1.0" encoding="utf-8"?>
<ds:datastoreItem xmlns:ds="http://schemas.openxmlformats.org/officeDocument/2006/customXml" ds:itemID="{3425487F-6E18-45B9-99D7-276D7A68A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ca72-5ccf-4af0-b484-a2a405a70e8c"/>
    <ds:schemaRef ds:uri="1daccf1b-4262-4c98-9be6-c97456ee0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000-MNWest Template</Template>
  <TotalTime>3</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Minnesota West Community and Technical College</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Olson</dc:creator>
  <cp:keywords/>
  <dc:description/>
  <cp:lastModifiedBy>Olson, Jackie L</cp:lastModifiedBy>
  <cp:revision>2</cp:revision>
  <dcterms:created xsi:type="dcterms:W3CDTF">2026-10-20T20:08:00Z</dcterms:created>
  <dcterms:modified xsi:type="dcterms:W3CDTF">2026-10-20T20:11:00Z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0x0101009755E471F42EFE49AF9BDEB4AA695B96</vt:lpwstr>
  </property>
</Properties>
</file>